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bottom w:color="000000" w:space="1" w:sz="12" w:val="single"/>
        </w:pBdr>
        <w:spacing w:before="0" w:lineRule="auto"/>
        <w:ind w:left="270" w:hanging="9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Alison Shott, Ph.D. </w:t>
      </w:r>
    </w:p>
    <w:p w:rsidR="00000000" w:rsidDel="00000000" w:rsidP="00000000" w:rsidRDefault="00000000" w:rsidRPr="00000000" w14:paraId="00000002">
      <w:pPr>
        <w:pStyle w:val="Heading1"/>
        <w:pBdr>
          <w:bottom w:color="000000" w:space="1" w:sz="12" w:val="single"/>
        </w:pBdr>
        <w:spacing w:before="0" w:lineRule="auto"/>
        <w:ind w:left="270" w:hanging="9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Instructor, Public Policy </w:t>
      </w:r>
    </w:p>
    <w:p w:rsidR="00000000" w:rsidDel="00000000" w:rsidP="00000000" w:rsidRDefault="00000000" w:rsidRPr="00000000" w14:paraId="00000003">
      <w:pPr>
        <w:pStyle w:val="Heading1"/>
        <w:pBdr>
          <w:bottom w:color="000000" w:space="1" w:sz="12" w:val="single"/>
        </w:pBdr>
        <w:spacing w:before="0" w:lineRule="auto"/>
        <w:ind w:left="270" w:hanging="9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Department of Political Science </w:t>
      </w:r>
    </w:p>
    <w:p w:rsidR="00000000" w:rsidDel="00000000" w:rsidP="00000000" w:rsidRDefault="00000000" w:rsidRPr="00000000" w14:paraId="00000004">
      <w:pPr>
        <w:pStyle w:val="Heading1"/>
        <w:pBdr>
          <w:bottom w:color="000000" w:space="1" w:sz="12" w:val="single"/>
        </w:pBdr>
        <w:spacing w:before="0" w:lineRule="auto"/>
        <w:ind w:left="270" w:hanging="90"/>
        <w:jc w:val="center"/>
        <w:rPr/>
      </w:pPr>
      <w:r w:rsidDel="00000000" w:rsidR="00000000" w:rsidRPr="00000000">
        <w:rPr>
          <w:rFonts w:ascii="Arial" w:cs="Arial" w:eastAsia="Arial" w:hAnsi="Arial"/>
          <w:sz w:val="20"/>
          <w:szCs w:val="20"/>
          <w:rtl w:val="0"/>
        </w:rPr>
        <w:t xml:space="preserve">Temple University</w:t>
      </w:r>
      <w:r w:rsidDel="00000000" w:rsidR="00000000" w:rsidRPr="00000000">
        <w:rPr>
          <w:rtl w:val="0"/>
        </w:rPr>
      </w:r>
    </w:p>
    <w:p w:rsidR="00000000" w:rsidDel="00000000" w:rsidP="00000000" w:rsidRDefault="00000000" w:rsidRPr="00000000" w14:paraId="00000005">
      <w:pPr>
        <w:pBdr>
          <w:top w:space="0" w:sz="0" w:val="nil"/>
          <w:left w:space="0" w:sz="0" w:val="nil"/>
          <w:bottom w:color="000000" w:space="1" w:sz="12" w:val="single"/>
          <w:right w:space="0" w:sz="0" w:val="nil"/>
          <w:between w:space="0" w:sz="0" w:val="nil"/>
        </w:pBdr>
        <w:ind w:left="174"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color="000000" w:space="1" w:sz="12" w:val="single"/>
          <w:right w:space="0" w:sz="0" w:val="nil"/>
          <w:between w:space="0" w:sz="0" w:val="nil"/>
        </w:pBdr>
        <w:ind w:left="17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Overview:  </w:t>
      </w:r>
      <w:r w:rsidDel="00000000" w:rsidR="00000000" w:rsidRPr="00000000">
        <w:rPr>
          <w:rFonts w:ascii="Arial" w:cs="Arial" w:eastAsia="Arial" w:hAnsi="Arial"/>
          <w:sz w:val="20"/>
          <w:szCs w:val="20"/>
          <w:rtl w:val="0"/>
        </w:rPr>
        <w:t xml:space="preserve">Community development and public policy professional grounded in a decade-plus of multi-method, inter-disciplinary, and community-based participatory research. Experienced manager of local government, nonprofit, and private sector partnerships to develop and align community investment and equitable community development initiatives in underserved communities. </w:t>
      </w:r>
      <w:r w:rsidDel="00000000" w:rsidR="00000000" w:rsidRPr="00000000">
        <w:rPr>
          <w:rtl w:val="0"/>
        </w:rPr>
      </w:r>
    </w:p>
    <w:p w:rsidR="00000000" w:rsidDel="00000000" w:rsidP="00000000" w:rsidRDefault="00000000" w:rsidRPr="00000000" w14:paraId="00000007">
      <w:pPr>
        <w:pBdr>
          <w:top w:space="0" w:sz="0" w:val="nil"/>
          <w:left w:space="0" w:sz="0" w:val="nil"/>
          <w:bottom w:color="000000" w:space="1" w:sz="12" w:val="single"/>
          <w:right w:space="0" w:sz="0" w:val="nil"/>
          <w:between w:space="0" w:sz="0" w:val="nil"/>
        </w:pBdr>
        <w:ind w:left="174"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color="000000" w:space="1" w:sz="12" w:val="single"/>
          <w:right w:space="0" w:sz="0" w:val="nil"/>
          <w:between w:space="0" w:sz="0" w:val="nil"/>
        </w:pBdr>
        <w:ind w:left="17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PROFESSIONAL SUMMARY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174" w:right="-15"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174" w:right="-15"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Community Engagement Advisor</w:t>
        <w:tab/>
        <w:tab/>
        <w:tab/>
        <w:tab/>
        <w:tab/>
        <w:tab/>
        <w:tab/>
        <w:tab/>
      </w:r>
      <w:r w:rsidDel="00000000" w:rsidR="00000000" w:rsidRPr="00000000">
        <w:rPr>
          <w:rFonts w:ascii="Arial" w:cs="Arial" w:eastAsia="Arial" w:hAnsi="Arial"/>
          <w:sz w:val="20"/>
          <w:szCs w:val="20"/>
          <w:rtl w:val="0"/>
        </w:rPr>
        <w:t xml:space="preserve">        2019 – present </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174" w:right="-15"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Federal Reserve Bank of Philadelphia </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Direct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ROC Cohort Program, providing long-term capacity building on racial equity and inclusive economic growth for more than 250 participants across 2</w:t>
      </w:r>
      <w:r w:rsidDel="00000000" w:rsidR="00000000" w:rsidRPr="00000000">
        <w:rPr>
          <w:rFonts w:ascii="Arial" w:cs="Arial" w:eastAsia="Arial" w:hAnsi="Arial"/>
          <w:sz w:val="20"/>
          <w:szCs w:val="20"/>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communities in 15 states. Build individual, organizational, and community capacity across private, public, nonprofit, and funder sectors in the areas of housing equity (2020), </w:t>
      </w:r>
      <w:r w:rsidDel="00000000" w:rsidR="00000000" w:rsidRPr="00000000">
        <w:rPr>
          <w:rFonts w:ascii="Arial" w:cs="Arial" w:eastAsia="Arial" w:hAnsi="Arial"/>
          <w:sz w:val="20"/>
          <w:szCs w:val="20"/>
          <w:rtl w:val="0"/>
        </w:rPr>
        <w:t xml:space="preserve">equitable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small business recovery (2021), and workforce development (2022). </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 partnerships with </w:t>
      </w:r>
      <w:r w:rsidDel="00000000" w:rsidR="00000000" w:rsidRPr="00000000">
        <w:rPr>
          <w:rFonts w:ascii="Arial" w:cs="Arial" w:eastAsia="Arial" w:hAnsi="Arial"/>
          <w:sz w:val="20"/>
          <w:szCs w:val="20"/>
          <w:rtl w:val="0"/>
        </w:rPr>
        <w:t xml:space="preserve">local government and nonprofit leaders in the Third Federal Reserve District communities. Provide advisory services to organizations addressing racial income and wealth gaps through improved service delivery and training programs, including the PA Downtown Center, PA Humanities Council, and county economic development agencies in Pennsylvania. </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Identify and implement engagement strategies with community development organizations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align service delivery, resource deployment, and engagement efforts to enhance cros</w:t>
      </w:r>
      <w:r w:rsidDel="00000000" w:rsidR="00000000" w:rsidRPr="00000000">
        <w:rPr>
          <w:rFonts w:ascii="Arial" w:cs="Arial" w:eastAsia="Arial" w:hAnsi="Arial"/>
          <w:sz w:val="20"/>
          <w:szCs w:val="20"/>
          <w:rtl w:val="0"/>
        </w:rPr>
        <w:t xml:space="preserve">s-sector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support of underserved populations in their communities. </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5"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Collaborated with local leaders in South Central Pennsylvania to design, implement, and facilitate an eighteen-month pandemic response series</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Built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regional platform to distribute information and share best practices on rental relief and eviction prevention, workforce</w:t>
      </w:r>
      <w:r w:rsidDel="00000000" w:rsidR="00000000" w:rsidRPr="00000000">
        <w:rPr>
          <w:rFonts w:ascii="Arial" w:cs="Arial" w:eastAsia="Arial" w:hAnsi="Arial"/>
          <w:sz w:val="20"/>
          <w:szCs w:val="20"/>
          <w:rtl w:val="0"/>
        </w:rPr>
        <w:t xml:space="preserve"> recovery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CARES and ARPA dollars.    </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174" w:right="-15"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174" w:right="-15"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Director</w:t>
      </w:r>
      <w:r w:rsidDel="00000000" w:rsidR="00000000" w:rsidRPr="00000000">
        <w:rPr>
          <w:rFonts w:ascii="Arial" w:cs="Arial" w:eastAsia="Arial" w:hAnsi="Arial"/>
          <w:color w:val="000000"/>
          <w:sz w:val="20"/>
          <w:szCs w:val="20"/>
          <w:rtl w:val="0"/>
        </w:rPr>
        <w:tab/>
        <w:tab/>
      </w:r>
      <w:r w:rsidDel="00000000" w:rsidR="00000000" w:rsidRPr="00000000">
        <w:rPr>
          <w:rFonts w:ascii="Arial" w:cs="Arial" w:eastAsia="Arial" w:hAnsi="Arial"/>
          <w:i w:val="1"/>
          <w:color w:val="000000"/>
          <w:sz w:val="20"/>
          <w:szCs w:val="20"/>
          <w:rtl w:val="0"/>
        </w:rPr>
        <w:tab/>
        <w:tab/>
        <w:tab/>
        <w:tab/>
        <w:tab/>
        <w:tab/>
        <w:tab/>
        <w:tab/>
        <w:t xml:space="preserve"> </w:t>
      </w:r>
      <w:r w:rsidDel="00000000" w:rsidR="00000000" w:rsidRPr="00000000">
        <w:rPr>
          <w:rFonts w:ascii="Arial" w:cs="Arial" w:eastAsia="Arial" w:hAnsi="Arial"/>
          <w:i w:val="1"/>
          <w:sz w:val="20"/>
          <w:szCs w:val="20"/>
          <w:rtl w:val="0"/>
        </w:rPr>
        <w:tab/>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sz w:val="20"/>
          <w:szCs w:val="20"/>
          <w:rtl w:val="0"/>
        </w:rPr>
        <w:t xml:space="preserve">2016</w:t>
      </w:r>
      <w:r w:rsidDel="00000000" w:rsidR="00000000" w:rsidRPr="00000000">
        <w:rPr>
          <w:rFonts w:ascii="Arial" w:cs="Arial" w:eastAsia="Arial" w:hAnsi="Arial"/>
          <w:color w:val="000000"/>
          <w:sz w:val="20"/>
          <w:szCs w:val="20"/>
          <w:rtl w:val="0"/>
        </w:rPr>
        <w:t xml:space="preserve"> – </w:t>
      </w:r>
      <w:r w:rsidDel="00000000" w:rsidR="00000000" w:rsidRPr="00000000">
        <w:rPr>
          <w:rFonts w:ascii="Arial" w:cs="Arial" w:eastAsia="Arial" w:hAnsi="Arial"/>
          <w:sz w:val="20"/>
          <w:szCs w:val="20"/>
          <w:rtl w:val="0"/>
        </w:rPr>
        <w:t xml:space="preserve">2019</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18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Econsult Solutions, Inc. </w:t>
      </w:r>
      <w:r w:rsidDel="00000000" w:rsidR="00000000" w:rsidRPr="00000000">
        <w:rPr>
          <w:rFonts w:ascii="Arial" w:cs="Arial" w:eastAsia="Arial" w:hAnsi="Arial"/>
          <w:color w:val="000000"/>
          <w:sz w:val="20"/>
          <w:szCs w:val="20"/>
          <w:rtl w:val="0"/>
        </w:rPr>
        <w:tab/>
        <w:tab/>
        <w:tab/>
        <w:tab/>
        <w:tab/>
        <w:tab/>
        <w:t xml:space="preserve">    </w:t>
        <w:tab/>
        <w:t xml:space="preserve"> </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Managed research projects from scope and design to delivering accessible, impactful content for clients in public, private, and nonprofit sectors.</w:t>
      </w:r>
    </w:p>
    <w:p w:rsidR="00000000" w:rsidDel="00000000" w:rsidP="00000000" w:rsidRDefault="00000000" w:rsidRPr="00000000" w14:paraId="00000014">
      <w:pPr>
        <w:numPr>
          <w:ilvl w:val="0"/>
          <w:numId w:val="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Set the analytical direction for projects, led report writing, and delivered presentations. </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Trained</w:t>
      </w:r>
      <w:r w:rsidDel="00000000" w:rsidR="00000000" w:rsidRPr="00000000">
        <w:rPr>
          <w:rFonts w:ascii="Arial" w:cs="Arial" w:eastAsia="Arial" w:hAnsi="Arial"/>
          <w:color w:val="000000"/>
          <w:sz w:val="20"/>
          <w:szCs w:val="20"/>
          <w:rtl w:val="0"/>
        </w:rPr>
        <w:t xml:space="preserve"> and supervised teams of 3-10 research analysts through the lifecycle of projects.  </w:t>
      </w: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Directed</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40</w:t>
      </w:r>
      <w:r w:rsidDel="00000000" w:rsidR="00000000" w:rsidRPr="00000000">
        <w:rPr>
          <w:rFonts w:ascii="Arial" w:cs="Arial" w:eastAsia="Arial" w:hAnsi="Arial"/>
          <w:color w:val="000000"/>
          <w:sz w:val="20"/>
          <w:szCs w:val="20"/>
          <w:rtl w:val="0"/>
        </w:rPr>
        <w:t xml:space="preserve">+ projects totaling more than $</w:t>
      </w:r>
      <w:r w:rsidDel="00000000" w:rsidR="00000000" w:rsidRPr="00000000">
        <w:rPr>
          <w:rFonts w:ascii="Arial" w:cs="Arial" w:eastAsia="Arial" w:hAnsi="Arial"/>
          <w:sz w:val="20"/>
          <w:szCs w:val="20"/>
          <w:rtl w:val="0"/>
        </w:rPr>
        <w:t xml:space="preserve">1.5 million</w:t>
      </w:r>
      <w:r w:rsidDel="00000000" w:rsidR="00000000" w:rsidRPr="00000000">
        <w:rPr>
          <w:rFonts w:ascii="Arial" w:cs="Arial" w:eastAsia="Arial" w:hAnsi="Arial"/>
          <w:color w:val="000000"/>
          <w:sz w:val="20"/>
          <w:szCs w:val="20"/>
          <w:rtl w:val="0"/>
        </w:rPr>
        <w:t xml:space="preserve"> in revenue.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180"/>
        </w:tabs>
        <w:ind w:left="18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180"/>
        </w:tabs>
        <w:ind w:left="180"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Research Associate (Contract) </w:t>
      </w:r>
      <w:r w:rsidDel="00000000" w:rsidR="00000000" w:rsidRPr="00000000">
        <w:rPr>
          <w:rFonts w:ascii="Arial" w:cs="Arial" w:eastAsia="Arial" w:hAnsi="Arial"/>
          <w:color w:val="000000"/>
          <w:sz w:val="20"/>
          <w:szCs w:val="20"/>
          <w:rtl w:val="0"/>
        </w:rPr>
        <w:tab/>
        <w:tab/>
        <w:tab/>
        <w:tab/>
        <w:tab/>
        <w:tab/>
        <w:tab/>
        <w:tab/>
        <w:t xml:space="preserve">        2015 – 2016</w:t>
      </w:r>
    </w:p>
    <w:p w:rsidR="00000000" w:rsidDel="00000000" w:rsidP="00000000" w:rsidRDefault="00000000" w:rsidRPr="00000000" w14:paraId="00000019">
      <w:pPr>
        <w:ind w:left="18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Institute on Municipal Finance and Governance (IMFG)</w:t>
      </w:r>
      <w:r w:rsidDel="00000000" w:rsidR="00000000" w:rsidRPr="00000000">
        <w:rPr>
          <w:rtl w:val="0"/>
        </w:rPr>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tabs>
          <w:tab w:val="left" w:leader="none" w:pos="879"/>
          <w:tab w:val="left" w:leader="none" w:pos="880"/>
        </w:tabs>
        <w:ind w:left="720" w:right="147"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Conducted a literature review of 150+ articles on empirical approaches to good governance. </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tabs>
          <w:tab w:val="left" w:leader="none" w:pos="879"/>
          <w:tab w:val="left" w:leader="none" w:pos="880"/>
        </w:tabs>
        <w:ind w:left="720" w:right="62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Evaluated indicators used by municipal governments to measure program outcomes.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270"/>
        </w:tabs>
        <w:ind w:left="18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270"/>
        </w:tabs>
        <w:ind w:left="180"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Vice President: External Affairs and Communications</w:t>
      </w:r>
      <w:r w:rsidDel="00000000" w:rsidR="00000000" w:rsidRPr="00000000">
        <w:rPr>
          <w:rFonts w:ascii="Arial" w:cs="Arial" w:eastAsia="Arial" w:hAnsi="Arial"/>
          <w:color w:val="000000"/>
          <w:sz w:val="20"/>
          <w:szCs w:val="20"/>
          <w:rtl w:val="0"/>
        </w:rPr>
        <w:tab/>
        <w:tab/>
        <w:tab/>
        <w:tab/>
        <w:tab/>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2014 – 2015</w:t>
      </w:r>
    </w:p>
    <w:p w:rsidR="00000000" w:rsidDel="00000000" w:rsidP="00000000" w:rsidRDefault="00000000" w:rsidRPr="00000000" w14:paraId="0000001E">
      <w:pPr>
        <w:ind w:left="18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Society of Graduate Students </w:t>
      </w:r>
      <w:r w:rsidDel="00000000" w:rsidR="00000000" w:rsidRPr="00000000">
        <w:rPr>
          <w:rtl w:val="0"/>
        </w:rPr>
      </w:r>
    </w:p>
    <w:p w:rsidR="00000000" w:rsidDel="00000000" w:rsidP="00000000" w:rsidRDefault="00000000" w:rsidRPr="00000000" w14:paraId="0000001F">
      <w:pPr>
        <w:numPr>
          <w:ilvl w:val="0"/>
          <w:numId w:val="4"/>
        </w:numPr>
        <w:tabs>
          <w:tab w:val="left" w:leader="none" w:pos="822"/>
          <w:tab w:val="left" w:leader="none" w:pos="823"/>
          <w:tab w:val="left" w:leader="none" w:pos="879"/>
          <w:tab w:val="left" w:leader="none" w:pos="880"/>
        </w:tabs>
        <w:ind w:left="720" w:right="538"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Co-developed and managed a $2.9 million annual budget as part of the Society’s executive team.  </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tabs>
          <w:tab w:val="left" w:leader="none" w:pos="822"/>
          <w:tab w:val="left" w:leader="none" w:pos="823"/>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Led project teams conducti</w:t>
      </w:r>
      <w:r w:rsidDel="00000000" w:rsidR="00000000" w:rsidRPr="00000000">
        <w:rPr>
          <w:rFonts w:ascii="Arial" w:cs="Arial" w:eastAsia="Arial" w:hAnsi="Arial"/>
          <w:sz w:val="20"/>
          <w:szCs w:val="20"/>
          <w:rtl w:val="0"/>
        </w:rPr>
        <w:t xml:space="preserve">ng</w:t>
      </w:r>
      <w:r w:rsidDel="00000000" w:rsidR="00000000" w:rsidRPr="00000000">
        <w:rPr>
          <w:rFonts w:ascii="Arial" w:cs="Arial" w:eastAsia="Arial" w:hAnsi="Arial"/>
          <w:color w:val="000000"/>
          <w:sz w:val="20"/>
          <w:szCs w:val="20"/>
          <w:rtl w:val="0"/>
        </w:rPr>
        <w:t xml:space="preserve"> research and analysis for issue-based advocacy campaigns.</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tabs>
          <w:tab w:val="left" w:leader="none" w:pos="822"/>
          <w:tab w:val="left" w:leader="none" w:pos="823"/>
        </w:tabs>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Worked closely with city councilors and municipal staff on student issues, including housing and transit.</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tabs>
          <w:tab w:val="left" w:leader="none" w:pos="822"/>
          <w:tab w:val="left" w:leader="none" w:pos="823"/>
        </w:tabs>
        <w:ind w:left="720" w:right="537"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Wrote website and social media content, press releases, and</w:t>
      </w:r>
      <w:r w:rsidDel="00000000" w:rsidR="00000000" w:rsidRPr="00000000">
        <w:rPr>
          <w:rFonts w:ascii="Arial" w:cs="Arial" w:eastAsia="Arial" w:hAnsi="Arial"/>
          <w:sz w:val="20"/>
          <w:szCs w:val="20"/>
          <w:rtl w:val="0"/>
        </w:rPr>
        <w:t xml:space="preserve"> a</w:t>
      </w:r>
      <w:r w:rsidDel="00000000" w:rsidR="00000000" w:rsidRPr="00000000">
        <w:rPr>
          <w:rFonts w:ascii="Arial" w:cs="Arial" w:eastAsia="Arial" w:hAnsi="Arial"/>
          <w:color w:val="000000"/>
          <w:sz w:val="20"/>
          <w:szCs w:val="20"/>
          <w:rtl w:val="0"/>
        </w:rPr>
        <w:t xml:space="preserve"> monthly newsletter</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822"/>
          <w:tab w:val="left" w:leader="none" w:pos="823"/>
          <w:tab w:val="left" w:leader="none" w:pos="8082"/>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180"/>
          <w:tab w:val="left" w:leader="none" w:pos="822"/>
          <w:tab w:val="left" w:leader="none" w:pos="823"/>
        </w:tabs>
        <w:ind w:left="180"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Research and Writing Assistant</w:t>
      </w:r>
      <w:r w:rsidDel="00000000" w:rsidR="00000000" w:rsidRPr="00000000">
        <w:rPr>
          <w:rFonts w:ascii="Arial" w:cs="Arial" w:eastAsia="Arial" w:hAnsi="Arial"/>
          <w:color w:val="000000"/>
          <w:sz w:val="20"/>
          <w:szCs w:val="20"/>
          <w:rtl w:val="0"/>
        </w:rPr>
        <w:tab/>
        <w:tab/>
        <w:tab/>
        <w:tab/>
        <w:tab/>
        <w:tab/>
        <w:tab/>
        <w:tab/>
        <w:t xml:space="preserve">         2009 – 2010</w:t>
      </w:r>
    </w:p>
    <w:p w:rsidR="00000000" w:rsidDel="00000000" w:rsidP="00000000" w:rsidRDefault="00000000" w:rsidRPr="00000000" w14:paraId="00000025">
      <w:pPr>
        <w:ind w:left="18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Social Economy and Sustainability Research Network </w:t>
      </w:r>
      <w:r w:rsidDel="00000000" w:rsidR="00000000" w:rsidRPr="00000000">
        <w:rPr>
          <w:rtl w:val="0"/>
        </w:rPr>
      </w:r>
    </w:p>
    <w:p w:rsidR="00000000" w:rsidDel="00000000" w:rsidP="00000000" w:rsidRDefault="00000000" w:rsidRPr="00000000" w14:paraId="00000026">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Conducted research and analysis for collaborative, community-led economic development policy initiatives.</w:t>
      </w:r>
    </w:p>
    <w:p w:rsidR="00000000" w:rsidDel="00000000" w:rsidP="00000000" w:rsidRDefault="00000000" w:rsidRPr="00000000" w14:paraId="00000027">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Drafted policy papers, grant applications, informational briefs, and press releases. </w:t>
      </w:r>
    </w:p>
    <w:p w:rsidR="00000000" w:rsidDel="00000000" w:rsidP="00000000" w:rsidRDefault="00000000" w:rsidRPr="00000000" w14:paraId="00000028">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Presented findings at regional and national conferences and community meetings.</w:t>
      </w:r>
    </w:p>
    <w:p w:rsidR="00000000" w:rsidDel="00000000" w:rsidP="00000000" w:rsidRDefault="00000000" w:rsidRPr="00000000" w14:paraId="00000029">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Provided event planning and management support for conferences. </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882"/>
          <w:tab w:val="left" w:leader="none" w:pos="883"/>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8082"/>
        </w:tabs>
        <w:ind w:left="18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spacing w:before="115" w:lineRule="auto"/>
        <w:ind w:left="1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8082"/>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pBdr>
          <w:bottom w:color="000000" w:space="1" w:sz="12" w:val="single"/>
        </w:pBd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Education </w:t>
      </w:r>
    </w:p>
    <w:p w:rsidR="00000000" w:rsidDel="00000000" w:rsidP="00000000" w:rsidRDefault="00000000" w:rsidRPr="00000000" w14:paraId="0000002F">
      <w:pPr>
        <w:spacing w:before="115" w:lineRule="auto"/>
        <w:ind w:left="18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Certificate of Specialization: Spanish</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Temple University</w:t>
      </w:r>
      <w:r w:rsidDel="00000000" w:rsidR="00000000" w:rsidRPr="00000000">
        <w:rPr>
          <w:rFonts w:ascii="Arial" w:cs="Arial" w:eastAsia="Arial" w:hAnsi="Arial"/>
          <w:sz w:val="20"/>
          <w:szCs w:val="20"/>
          <w:rtl w:val="0"/>
        </w:rPr>
        <w:tab/>
        <w:t xml:space="preserve">         </w:t>
        <w:tab/>
        <w:tab/>
        <w:tab/>
        <w:t xml:space="preserve">  </w:t>
        <w:tab/>
        <w:t xml:space="preserve">         2020 – 2022</w:t>
      </w:r>
    </w:p>
    <w:p w:rsidR="00000000" w:rsidDel="00000000" w:rsidP="00000000" w:rsidRDefault="00000000" w:rsidRPr="00000000" w14:paraId="00000030">
      <w:pPr>
        <w:tabs>
          <w:tab w:val="left" w:leader="none" w:pos="8082"/>
        </w:tabs>
        <w:ind w:left="18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Doctor of Philosophy </w:t>
      </w:r>
      <w:r w:rsidDel="00000000" w:rsidR="00000000" w:rsidRPr="00000000">
        <w:rPr>
          <w:rFonts w:ascii="Arial" w:cs="Arial" w:eastAsia="Arial" w:hAnsi="Arial"/>
          <w:sz w:val="20"/>
          <w:szCs w:val="20"/>
          <w:rtl w:val="0"/>
        </w:rPr>
        <w:t xml:space="preserve">(Political Science), </w:t>
      </w:r>
      <w:r w:rsidDel="00000000" w:rsidR="00000000" w:rsidRPr="00000000">
        <w:rPr>
          <w:rFonts w:ascii="Arial" w:cs="Arial" w:eastAsia="Arial" w:hAnsi="Arial"/>
          <w:i w:val="1"/>
          <w:sz w:val="20"/>
          <w:szCs w:val="20"/>
          <w:rtl w:val="0"/>
        </w:rPr>
        <w:t xml:space="preserve">The University of Western Ontario</w:t>
      </w:r>
      <w:r w:rsidDel="00000000" w:rsidR="00000000" w:rsidRPr="00000000">
        <w:rPr>
          <w:rFonts w:ascii="Arial" w:cs="Arial" w:eastAsia="Arial" w:hAnsi="Arial"/>
          <w:b w:val="1"/>
          <w:sz w:val="20"/>
          <w:szCs w:val="20"/>
          <w:rtl w:val="0"/>
        </w:rPr>
        <w:t xml:space="preserve">    </w:t>
        <w:tab/>
        <w:t xml:space="preserve">   </w:t>
        <w:tab/>
        <w:tab/>
        <w:t xml:space="preserve">       </w:t>
      </w:r>
      <w:r w:rsidDel="00000000" w:rsidR="00000000" w:rsidRPr="00000000">
        <w:rPr>
          <w:rFonts w:ascii="Arial" w:cs="Arial" w:eastAsia="Arial" w:hAnsi="Arial"/>
          <w:sz w:val="20"/>
          <w:szCs w:val="20"/>
          <w:rtl w:val="0"/>
        </w:rPr>
        <w:t xml:space="preserve"> 2015</w:t>
      </w:r>
    </w:p>
    <w:p w:rsidR="00000000" w:rsidDel="00000000" w:rsidP="00000000" w:rsidRDefault="00000000" w:rsidRPr="00000000" w14:paraId="00000031">
      <w:pPr>
        <w:tabs>
          <w:tab w:val="left" w:leader="none" w:pos="8082"/>
        </w:tabs>
        <w:ind w:left="18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Master of Arts (</w:t>
      </w:r>
      <w:r w:rsidDel="00000000" w:rsidR="00000000" w:rsidRPr="00000000">
        <w:rPr>
          <w:rFonts w:ascii="Arial" w:cs="Arial" w:eastAsia="Arial" w:hAnsi="Arial"/>
          <w:sz w:val="20"/>
          <w:szCs w:val="20"/>
          <w:rtl w:val="0"/>
        </w:rPr>
        <w:t xml:space="preserve">Political Science), </w:t>
      </w:r>
      <w:r w:rsidDel="00000000" w:rsidR="00000000" w:rsidRPr="00000000">
        <w:rPr>
          <w:rFonts w:ascii="Arial" w:cs="Arial" w:eastAsia="Arial" w:hAnsi="Arial"/>
          <w:i w:val="1"/>
          <w:sz w:val="20"/>
          <w:szCs w:val="20"/>
          <w:rtl w:val="0"/>
        </w:rPr>
        <w:t xml:space="preserve">Acadia University</w:t>
      </w:r>
      <w:r w:rsidDel="00000000" w:rsidR="00000000" w:rsidRPr="00000000">
        <w:rPr>
          <w:rFonts w:ascii="Arial" w:cs="Arial" w:eastAsia="Arial" w:hAnsi="Arial"/>
          <w:sz w:val="20"/>
          <w:szCs w:val="20"/>
          <w:rtl w:val="0"/>
        </w:rPr>
        <w:tab/>
        <w:tab/>
        <w:tab/>
        <w:t xml:space="preserve">        2011</w:t>
      </w:r>
    </w:p>
    <w:p w:rsidR="00000000" w:rsidDel="00000000" w:rsidP="00000000" w:rsidRDefault="00000000" w:rsidRPr="00000000" w14:paraId="00000032">
      <w:pPr>
        <w:tabs>
          <w:tab w:val="left" w:leader="none" w:pos="8082"/>
        </w:tabs>
        <w:ind w:left="18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Fulbright Fellow </w:t>
      </w:r>
      <w:r w:rsidDel="00000000" w:rsidR="00000000" w:rsidRPr="00000000">
        <w:rPr>
          <w:rFonts w:ascii="Arial" w:cs="Arial" w:eastAsia="Arial" w:hAnsi="Arial"/>
          <w:sz w:val="20"/>
          <w:szCs w:val="20"/>
          <w:rtl w:val="0"/>
        </w:rPr>
        <w:t xml:space="preserve">(Political Science), </w:t>
      </w:r>
      <w:r w:rsidDel="00000000" w:rsidR="00000000" w:rsidRPr="00000000">
        <w:rPr>
          <w:rFonts w:ascii="Arial" w:cs="Arial" w:eastAsia="Arial" w:hAnsi="Arial"/>
          <w:i w:val="1"/>
          <w:sz w:val="20"/>
          <w:szCs w:val="20"/>
          <w:rtl w:val="0"/>
        </w:rPr>
        <w:t xml:space="preserve">University of Prince Edward Island</w:t>
      </w:r>
      <w:r w:rsidDel="00000000" w:rsidR="00000000" w:rsidRPr="00000000">
        <w:rPr>
          <w:rFonts w:ascii="Arial" w:cs="Arial" w:eastAsia="Arial" w:hAnsi="Arial"/>
          <w:sz w:val="20"/>
          <w:szCs w:val="20"/>
          <w:rtl w:val="0"/>
        </w:rPr>
        <w:tab/>
        <w:tab/>
        <w:t xml:space="preserve">         2009 – 2010</w:t>
      </w:r>
    </w:p>
    <w:p w:rsidR="00000000" w:rsidDel="00000000" w:rsidP="00000000" w:rsidRDefault="00000000" w:rsidRPr="00000000" w14:paraId="00000033">
      <w:pPr>
        <w:tabs>
          <w:tab w:val="left" w:leader="none" w:pos="8082"/>
        </w:tabs>
        <w:ind w:left="18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Bachelor of Arts </w:t>
      </w:r>
      <w:r w:rsidDel="00000000" w:rsidR="00000000" w:rsidRPr="00000000">
        <w:rPr>
          <w:rFonts w:ascii="Arial" w:cs="Arial" w:eastAsia="Arial" w:hAnsi="Arial"/>
          <w:sz w:val="20"/>
          <w:szCs w:val="20"/>
          <w:rtl w:val="0"/>
        </w:rPr>
        <w:t xml:space="preserve">(Political Science, </w:t>
      </w:r>
      <w:r w:rsidDel="00000000" w:rsidR="00000000" w:rsidRPr="00000000">
        <w:rPr>
          <w:rFonts w:ascii="Arial" w:cs="Arial" w:eastAsia="Arial" w:hAnsi="Arial"/>
          <w:i w:val="1"/>
          <w:sz w:val="20"/>
          <w:szCs w:val="20"/>
          <w:rtl w:val="0"/>
        </w:rPr>
        <w:t xml:space="preserve">magna cum laude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American University</w:t>
        <w:tab/>
      </w:r>
      <w:r w:rsidDel="00000000" w:rsidR="00000000" w:rsidRPr="00000000">
        <w:rPr>
          <w:rFonts w:ascii="Arial" w:cs="Arial" w:eastAsia="Arial" w:hAnsi="Arial"/>
          <w:sz w:val="20"/>
          <w:szCs w:val="20"/>
          <w:rtl w:val="0"/>
        </w:rPr>
        <w:tab/>
        <w:tab/>
        <w:t xml:space="preserve">        2008</w:t>
      </w:r>
    </w:p>
    <w:p w:rsidR="00000000" w:rsidDel="00000000" w:rsidP="00000000" w:rsidRDefault="00000000" w:rsidRPr="00000000" w14:paraId="00000034">
      <w:pPr>
        <w:pBdr>
          <w:bottom w:color="000000" w:space="1" w:sz="12" w:val="single"/>
        </w:pBdr>
        <w:ind w:left="18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pBdr>
          <w:bottom w:color="000000" w:space="1" w:sz="12" w:val="single"/>
        </w:pBdr>
        <w:ind w:left="18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pBdr>
          <w:bottom w:color="000000" w:space="1" w:sz="12" w:val="single"/>
        </w:pBd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Teaching Summary  </w:t>
      </w:r>
    </w:p>
    <w:p w:rsidR="00000000" w:rsidDel="00000000" w:rsidP="00000000" w:rsidRDefault="00000000" w:rsidRPr="00000000" w14:paraId="00000037">
      <w:pPr>
        <w:spacing w:before="115" w:lineRule="auto"/>
        <w:ind w:left="18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Instructor</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i w:val="1"/>
          <w:sz w:val="20"/>
          <w:szCs w:val="20"/>
          <w:rtl w:val="0"/>
        </w:rPr>
        <w:t xml:space="preserve">Temple University: PLCY 8127: Public Policy Project</w:t>
      </w:r>
      <w:r w:rsidDel="00000000" w:rsidR="00000000" w:rsidRPr="00000000">
        <w:rPr>
          <w:rFonts w:ascii="Arial" w:cs="Arial" w:eastAsia="Arial" w:hAnsi="Arial"/>
          <w:sz w:val="20"/>
          <w:szCs w:val="20"/>
          <w:rtl w:val="0"/>
        </w:rPr>
        <w:t xml:space="preserve"> </w:t>
        <w:tab/>
        <w:tab/>
        <w:tab/>
        <w:tab/>
        <w:t xml:space="preserve">        2024 – present </w:t>
      </w:r>
    </w:p>
    <w:p w:rsidR="00000000" w:rsidDel="00000000" w:rsidP="00000000" w:rsidRDefault="00000000" w:rsidRPr="00000000" w14:paraId="00000038">
      <w:pPr>
        <w:tabs>
          <w:tab w:val="left" w:leader="none" w:pos="8082"/>
        </w:tabs>
        <w:ind w:left="18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Teaching Assistant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University of Western Ontario: PS-2236E: Local Government and </w:t>
        <w:tab/>
        <w:tab/>
      </w:r>
      <w:r w:rsidDel="00000000" w:rsidR="00000000" w:rsidRPr="00000000">
        <w:rPr>
          <w:rFonts w:ascii="Arial" w:cs="Arial" w:eastAsia="Arial" w:hAnsi="Arial"/>
          <w:sz w:val="20"/>
          <w:szCs w:val="20"/>
          <w:rtl w:val="0"/>
        </w:rPr>
        <w:t xml:space="preserve">        2011 – 2015 </w:t>
      </w:r>
    </w:p>
    <w:p w:rsidR="00000000" w:rsidDel="00000000" w:rsidP="00000000" w:rsidRDefault="00000000" w:rsidRPr="00000000" w14:paraId="00000039">
      <w:pPr>
        <w:tabs>
          <w:tab w:val="left" w:leader="none" w:pos="8082"/>
        </w:tabs>
        <w:ind w:left="18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PS-2246E: Public Administration </w:t>
      </w:r>
    </w:p>
    <w:p w:rsidR="00000000" w:rsidDel="00000000" w:rsidP="00000000" w:rsidRDefault="00000000" w:rsidRPr="00000000" w14:paraId="0000003A">
      <w:pPr>
        <w:tabs>
          <w:tab w:val="left" w:leader="none" w:pos="8082"/>
        </w:tabs>
        <w:ind w:left="180" w:firstLine="0"/>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Teaching Assistant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Acadia University: POLS-1303: Intro to Law &amp; Politics</w:t>
        <w:tab/>
        <w:t xml:space="preserve">                  </w:t>
      </w:r>
      <w:r w:rsidDel="00000000" w:rsidR="00000000" w:rsidRPr="00000000">
        <w:rPr>
          <w:rFonts w:ascii="Arial" w:cs="Arial" w:eastAsia="Arial" w:hAnsi="Arial"/>
          <w:sz w:val="20"/>
          <w:szCs w:val="20"/>
          <w:rtl w:val="0"/>
        </w:rPr>
        <w:t xml:space="preserve">2010 – 2011 </w:t>
      </w:r>
      <w:r w:rsidDel="00000000" w:rsidR="00000000" w:rsidRPr="00000000">
        <w:rPr>
          <w:rtl w:val="0"/>
        </w:rPr>
      </w:r>
    </w:p>
    <w:p w:rsidR="00000000" w:rsidDel="00000000" w:rsidP="00000000" w:rsidRDefault="00000000" w:rsidRPr="00000000" w14:paraId="0000003B">
      <w:pPr>
        <w:tabs>
          <w:tab w:val="left" w:leader="none" w:pos="8082"/>
        </w:tabs>
        <w:ind w:left="18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Teaching Assistant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American University: GOVT-110: Politics in the U.S. and </w:t>
        <w:tab/>
        <w:tab/>
        <w:t xml:space="preserve">       </w:t>
      </w:r>
      <w:r w:rsidDel="00000000" w:rsidR="00000000" w:rsidRPr="00000000">
        <w:rPr>
          <w:rFonts w:ascii="Arial" w:cs="Arial" w:eastAsia="Arial" w:hAnsi="Arial"/>
          <w:sz w:val="20"/>
          <w:szCs w:val="20"/>
          <w:rtl w:val="0"/>
        </w:rPr>
        <w:t xml:space="preserve"> 2007 – 2008</w:t>
      </w:r>
    </w:p>
    <w:p w:rsidR="00000000" w:rsidDel="00000000" w:rsidP="00000000" w:rsidRDefault="00000000" w:rsidRPr="00000000" w14:paraId="0000003C">
      <w:pPr>
        <w:tabs>
          <w:tab w:val="left" w:leader="none" w:pos="8082"/>
        </w:tabs>
        <w:ind w:left="18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COMM-100: Understanding Mass Media</w:t>
        <w:tab/>
      </w:r>
      <w:r w:rsidDel="00000000" w:rsidR="00000000" w:rsidRPr="00000000">
        <w:rPr>
          <w:rtl w:val="0"/>
        </w:rPr>
      </w:r>
    </w:p>
    <w:p w:rsidR="00000000" w:rsidDel="00000000" w:rsidP="00000000" w:rsidRDefault="00000000" w:rsidRPr="00000000" w14:paraId="0000003D">
      <w:pPr>
        <w:pBdr>
          <w:bottom w:color="000000" w:space="1" w:sz="12" w:val="single"/>
        </w:pBdr>
        <w:ind w:left="18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pBdr>
          <w:bottom w:color="000000" w:space="1" w:sz="12" w:val="single"/>
        </w:pBdr>
        <w:ind w:left="18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F">
      <w:pPr>
        <w:pBdr>
          <w:bottom w:color="000000" w:space="1" w:sz="12" w:val="single"/>
        </w:pBd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Select Publications  </w:t>
      </w:r>
    </w:p>
    <w:p w:rsidR="00000000" w:rsidDel="00000000" w:rsidP="00000000" w:rsidRDefault="00000000" w:rsidRPr="00000000" w14:paraId="00000040">
      <w:pPr>
        <w:spacing w:before="115" w:lineRule="auto"/>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Carpenter, Surekha et al. "2021 CDFI Survey: Key Findings." </w:t>
      </w:r>
      <w:r w:rsidDel="00000000" w:rsidR="00000000" w:rsidRPr="00000000">
        <w:rPr>
          <w:rFonts w:ascii="Arial" w:cs="Arial" w:eastAsia="Arial" w:hAnsi="Arial"/>
          <w:i w:val="1"/>
          <w:sz w:val="20"/>
          <w:szCs w:val="20"/>
          <w:rtl w:val="0"/>
        </w:rPr>
        <w:t xml:space="preserve">Federal Reserve System</w:t>
      </w:r>
      <w:r w:rsidDel="00000000" w:rsidR="00000000" w:rsidRPr="00000000">
        <w:rPr>
          <w:rFonts w:ascii="Arial" w:cs="Arial" w:eastAsia="Arial" w:hAnsi="Arial"/>
          <w:sz w:val="20"/>
          <w:szCs w:val="20"/>
          <w:rtl w:val="0"/>
        </w:rPr>
        <w:t xml:space="preserve">, 2021. </w:t>
      </w:r>
    </w:p>
    <w:p w:rsidR="00000000" w:rsidDel="00000000" w:rsidP="00000000" w:rsidRDefault="00000000" w:rsidRPr="00000000" w14:paraId="00000041">
      <w:pPr>
        <w:ind w:left="1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Shott, Alison. "Developing and Executing a Data Collection Plan for Archival Research.” </w:t>
      </w:r>
      <w:r w:rsidDel="00000000" w:rsidR="00000000" w:rsidRPr="00000000">
        <w:rPr>
          <w:rFonts w:ascii="Arial" w:cs="Arial" w:eastAsia="Arial" w:hAnsi="Arial"/>
          <w:i w:val="1"/>
          <w:sz w:val="20"/>
          <w:szCs w:val="20"/>
          <w:rtl w:val="0"/>
        </w:rPr>
        <w:t xml:space="preserve">SAGE Research Methods Cases</w:t>
      </w:r>
      <w:r w:rsidDel="00000000" w:rsidR="00000000" w:rsidRPr="00000000">
        <w:rPr>
          <w:rFonts w:ascii="Arial" w:cs="Arial" w:eastAsia="Arial" w:hAnsi="Arial"/>
          <w:sz w:val="20"/>
          <w:szCs w:val="20"/>
          <w:rtl w:val="0"/>
        </w:rPr>
        <w:t xml:space="preserve">, 2019. </w:t>
      </w:r>
    </w:p>
    <w:p w:rsidR="00000000" w:rsidDel="00000000" w:rsidP="00000000" w:rsidRDefault="00000000" w:rsidRPr="00000000" w14:paraId="00000043">
      <w:pPr>
        <w:ind w:left="1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Wong, Sidney, Daniel Miles, Gabrielle Connor, Brooke Queenan, and Alison Shott. “Residential</w:t>
      </w:r>
    </w:p>
    <w:p w:rsidR="00000000" w:rsidDel="00000000" w:rsidP="00000000" w:rsidRDefault="00000000" w:rsidRPr="00000000" w14:paraId="00000045">
      <w:pPr>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Demographic Multipliers: Using Public Use Microdata Sample Records to Estimate Housing</w:t>
      </w:r>
    </w:p>
    <w:p w:rsidR="00000000" w:rsidDel="00000000" w:rsidP="00000000" w:rsidRDefault="00000000" w:rsidRPr="00000000" w14:paraId="00000046">
      <w:pPr>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Development Impacts.” </w:t>
      </w:r>
      <w:r w:rsidDel="00000000" w:rsidR="00000000" w:rsidRPr="00000000">
        <w:rPr>
          <w:rFonts w:ascii="Arial" w:cs="Arial" w:eastAsia="Arial" w:hAnsi="Arial"/>
          <w:i w:val="1"/>
          <w:sz w:val="20"/>
          <w:szCs w:val="20"/>
          <w:rtl w:val="0"/>
        </w:rPr>
        <w:t xml:space="preserve">Cityscape</w:t>
      </w:r>
      <w:r w:rsidDel="00000000" w:rsidR="00000000" w:rsidRPr="00000000">
        <w:rPr>
          <w:rFonts w:ascii="Arial" w:cs="Arial" w:eastAsia="Arial" w:hAnsi="Arial"/>
          <w:sz w:val="20"/>
          <w:szCs w:val="20"/>
          <w:rtl w:val="0"/>
        </w:rPr>
        <w:t xml:space="preserve"> 19:3 (2017), 415-427.</w:t>
      </w:r>
    </w:p>
    <w:p w:rsidR="00000000" w:rsidDel="00000000" w:rsidP="00000000" w:rsidRDefault="00000000" w:rsidRPr="00000000" w14:paraId="00000047">
      <w:pPr>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8">
      <w:pPr>
        <w:ind w:left="180" w:firstLine="0"/>
        <w:rPr>
          <w:rFonts w:ascii="Arial" w:cs="Arial" w:eastAsia="Arial" w:hAnsi="Arial"/>
          <w:i w:val="1"/>
          <w:sz w:val="20"/>
          <w:szCs w:val="20"/>
        </w:rPr>
      </w:pPr>
      <w:r w:rsidDel="00000000" w:rsidR="00000000" w:rsidRPr="00000000">
        <w:rPr>
          <w:rFonts w:ascii="Arial" w:cs="Arial" w:eastAsia="Arial" w:hAnsi="Arial"/>
          <w:sz w:val="20"/>
          <w:szCs w:val="20"/>
          <w:rtl w:val="0"/>
        </w:rPr>
        <w:t xml:space="preserve">Shott, Alison. “Increasing the Competitiveness of Municipal Council Elections." In </w:t>
      </w:r>
      <w:r w:rsidDel="00000000" w:rsidR="00000000" w:rsidRPr="00000000">
        <w:rPr>
          <w:rFonts w:ascii="Arial" w:cs="Arial" w:eastAsia="Arial" w:hAnsi="Arial"/>
          <w:i w:val="1"/>
          <w:sz w:val="20"/>
          <w:szCs w:val="20"/>
          <w:rtl w:val="0"/>
        </w:rPr>
        <w:t xml:space="preserve">The Democracy</w:t>
      </w:r>
    </w:p>
    <w:p w:rsidR="00000000" w:rsidDel="00000000" w:rsidP="00000000" w:rsidRDefault="00000000" w:rsidRPr="00000000" w14:paraId="00000049">
      <w:pPr>
        <w:ind w:left="18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Cookbook: Recipes to Renew Governance in Newfoundland and Labrador.</w:t>
      </w:r>
      <w:r w:rsidDel="00000000" w:rsidR="00000000" w:rsidRPr="00000000">
        <w:rPr>
          <w:rFonts w:ascii="Arial" w:cs="Arial" w:eastAsia="Arial" w:hAnsi="Arial"/>
          <w:sz w:val="20"/>
          <w:szCs w:val="20"/>
          <w:rtl w:val="0"/>
        </w:rPr>
        <w:t xml:space="preserve"> Ed. Alex Marland and Lisa</w:t>
      </w:r>
    </w:p>
    <w:p w:rsidR="00000000" w:rsidDel="00000000" w:rsidP="00000000" w:rsidRDefault="00000000" w:rsidRPr="00000000" w14:paraId="0000004A">
      <w:pPr>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Moore. St. John’s: IESR Books, 2017.</w:t>
      </w:r>
    </w:p>
    <w:p w:rsidR="00000000" w:rsidDel="00000000" w:rsidP="00000000" w:rsidRDefault="00000000" w:rsidRPr="00000000" w14:paraId="0000004B">
      <w:pPr>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C">
      <w:pPr>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Shott, Alison. “The Composition of Municipal Associations and Policy Requests to Provincial</w:t>
      </w:r>
    </w:p>
    <w:p w:rsidR="00000000" w:rsidDel="00000000" w:rsidP="00000000" w:rsidRDefault="00000000" w:rsidRPr="00000000" w14:paraId="0000004D">
      <w:pPr>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Governments: Selected Cases.” </w:t>
      </w:r>
      <w:r w:rsidDel="00000000" w:rsidR="00000000" w:rsidRPr="00000000">
        <w:rPr>
          <w:rFonts w:ascii="Arial" w:cs="Arial" w:eastAsia="Arial" w:hAnsi="Arial"/>
          <w:i w:val="1"/>
          <w:sz w:val="20"/>
          <w:szCs w:val="20"/>
          <w:rtl w:val="0"/>
        </w:rPr>
        <w:t xml:space="preserve">Canadian Public Administration</w:t>
      </w:r>
      <w:r w:rsidDel="00000000" w:rsidR="00000000" w:rsidRPr="00000000">
        <w:rPr>
          <w:rFonts w:ascii="Arial" w:cs="Arial" w:eastAsia="Arial" w:hAnsi="Arial"/>
          <w:sz w:val="20"/>
          <w:szCs w:val="20"/>
          <w:rtl w:val="0"/>
        </w:rPr>
        <w:t xml:space="preserve"> 60:1 (2017), 111-134.</w:t>
      </w:r>
    </w:p>
    <w:p w:rsidR="00000000" w:rsidDel="00000000" w:rsidP="00000000" w:rsidRDefault="00000000" w:rsidRPr="00000000" w14:paraId="0000004E">
      <w:pPr>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F">
      <w:pPr>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Shott, Alison K. “Ways but not a Will: Addressing Nitrate Contamination on Prince Edward Island.” </w:t>
      </w:r>
      <w:r w:rsidDel="00000000" w:rsidR="00000000" w:rsidRPr="00000000">
        <w:rPr>
          <w:rFonts w:ascii="Arial" w:cs="Arial" w:eastAsia="Arial" w:hAnsi="Arial"/>
          <w:i w:val="1"/>
          <w:sz w:val="20"/>
          <w:szCs w:val="20"/>
          <w:rtl w:val="0"/>
        </w:rPr>
        <w:t xml:space="preserve">Public Policy and Governance Review </w:t>
      </w:r>
      <w:r w:rsidDel="00000000" w:rsidR="00000000" w:rsidRPr="00000000">
        <w:rPr>
          <w:rFonts w:ascii="Arial" w:cs="Arial" w:eastAsia="Arial" w:hAnsi="Arial"/>
          <w:sz w:val="20"/>
          <w:szCs w:val="20"/>
          <w:rtl w:val="0"/>
        </w:rPr>
        <w:t xml:space="preserve">3:2 (2012): 48-62.</w:t>
      </w:r>
    </w:p>
    <w:p w:rsidR="00000000" w:rsidDel="00000000" w:rsidP="00000000" w:rsidRDefault="00000000" w:rsidRPr="00000000" w14:paraId="00000050">
      <w:pPr>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1">
      <w:pPr>
        <w:ind w:left="180" w:firstLine="0"/>
        <w:rPr>
          <w:rFonts w:ascii="Arial" w:cs="Arial" w:eastAsia="Arial" w:hAnsi="Arial"/>
          <w:i w:val="1"/>
          <w:sz w:val="20"/>
          <w:szCs w:val="20"/>
        </w:rPr>
      </w:pPr>
      <w:r w:rsidDel="00000000" w:rsidR="00000000" w:rsidRPr="00000000">
        <w:rPr>
          <w:rFonts w:ascii="Arial" w:cs="Arial" w:eastAsia="Arial" w:hAnsi="Arial"/>
          <w:sz w:val="20"/>
          <w:szCs w:val="20"/>
          <w:rtl w:val="0"/>
        </w:rPr>
        <w:t xml:space="preserve">Novaczek, Irené and Alison Shott. </w:t>
      </w:r>
      <w:r w:rsidDel="00000000" w:rsidR="00000000" w:rsidRPr="00000000">
        <w:rPr>
          <w:rFonts w:ascii="Arial" w:cs="Arial" w:eastAsia="Arial" w:hAnsi="Arial"/>
          <w:i w:val="1"/>
          <w:sz w:val="20"/>
          <w:szCs w:val="20"/>
          <w:rtl w:val="0"/>
        </w:rPr>
        <w:t xml:space="preserve">The Importance of Good Government-Governance Relations for Land</w:t>
      </w:r>
    </w:p>
    <w:p w:rsidR="00000000" w:rsidDel="00000000" w:rsidP="00000000" w:rsidRDefault="00000000" w:rsidRPr="00000000" w14:paraId="00000052">
      <w:pPr>
        <w:ind w:left="180" w:firstLine="0"/>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Use Planning and Management on Prince Edward Island.</w:t>
      </w:r>
      <w:r w:rsidDel="00000000" w:rsidR="00000000" w:rsidRPr="00000000">
        <w:rPr>
          <w:rFonts w:ascii="Arial" w:cs="Arial" w:eastAsia="Arial" w:hAnsi="Arial"/>
          <w:sz w:val="20"/>
          <w:szCs w:val="20"/>
          <w:rtl w:val="0"/>
        </w:rPr>
        <w:t xml:space="preserve"> Charlottetown: Island Studies Press, 2009</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53">
      <w:pPr>
        <w:pBdr>
          <w:bottom w:color="000000" w:space="1" w:sz="12" w:val="single"/>
        </w:pBdr>
        <w:ind w:left="18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pBdr>
          <w:bottom w:color="000000" w:space="1" w:sz="12" w:val="single"/>
        </w:pBdr>
        <w:ind w:left="18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pBdr>
          <w:bottom w:color="000000" w:space="1" w:sz="12" w:val="single"/>
        </w:pBdr>
        <w:ind w:left="18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Qualifications  </w:t>
      </w:r>
    </w:p>
    <w:p w:rsidR="00000000" w:rsidDel="00000000" w:rsidP="00000000" w:rsidRDefault="00000000" w:rsidRPr="00000000" w14:paraId="00000056">
      <w:pPr>
        <w:spacing w:before="120" w:lineRule="auto"/>
        <w:ind w:left="180" w:firstLine="0"/>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Diversity, Equity, and Inclusion Task Force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Pennsylvania Downtown Center</w:t>
      </w:r>
      <w:r w:rsidDel="00000000" w:rsidR="00000000" w:rsidRPr="00000000">
        <w:rPr>
          <w:rFonts w:ascii="Arial" w:cs="Arial" w:eastAsia="Arial" w:hAnsi="Arial"/>
          <w:sz w:val="20"/>
          <w:szCs w:val="20"/>
          <w:rtl w:val="0"/>
        </w:rPr>
        <w:t xml:space="preserve">, 2022 – present </w:t>
      </w:r>
      <w:r w:rsidDel="00000000" w:rsidR="00000000" w:rsidRPr="00000000">
        <w:rPr>
          <w:rtl w:val="0"/>
        </w:rPr>
      </w:r>
    </w:p>
    <w:p w:rsidR="00000000" w:rsidDel="00000000" w:rsidP="00000000" w:rsidRDefault="00000000" w:rsidRPr="00000000" w14:paraId="0000005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Civic Engagement Advisory Council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Pennsylvania Humanities Council</w:t>
      </w:r>
      <w:r w:rsidDel="00000000" w:rsidR="00000000" w:rsidRPr="00000000">
        <w:rPr>
          <w:rFonts w:ascii="Arial" w:cs="Arial" w:eastAsia="Arial" w:hAnsi="Arial"/>
          <w:sz w:val="20"/>
          <w:szCs w:val="20"/>
          <w:rtl w:val="0"/>
        </w:rPr>
        <w:t xml:space="preserve">, 2021 – present </w:t>
      </w:r>
    </w:p>
    <w:p w:rsidR="00000000" w:rsidDel="00000000" w:rsidP="00000000" w:rsidRDefault="00000000" w:rsidRPr="00000000" w14:paraId="00000058">
      <w:pPr>
        <w:ind w:left="18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Board of Directors</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sz w:val="20"/>
          <w:szCs w:val="20"/>
          <w:rtl w:val="0"/>
        </w:rPr>
        <w:t xml:space="preserve">South Central Assembly</w:t>
      </w:r>
      <w:r w:rsidDel="00000000" w:rsidR="00000000" w:rsidRPr="00000000">
        <w:rPr>
          <w:rFonts w:ascii="Arial" w:cs="Arial" w:eastAsia="Arial" w:hAnsi="Arial"/>
          <w:sz w:val="20"/>
          <w:szCs w:val="20"/>
          <w:rtl w:val="0"/>
        </w:rPr>
        <w:t xml:space="preserve">, 2019 – 2023 </w:t>
      </w:r>
    </w:p>
    <w:p w:rsidR="00000000" w:rsidDel="00000000" w:rsidP="00000000" w:rsidRDefault="00000000" w:rsidRPr="00000000" w14:paraId="00000059">
      <w:pPr>
        <w:ind w:left="18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Board of Directors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Young Involved Philadelphia</w:t>
      </w:r>
      <w:r w:rsidDel="00000000" w:rsidR="00000000" w:rsidRPr="00000000">
        <w:rPr>
          <w:rFonts w:ascii="Arial" w:cs="Arial" w:eastAsia="Arial" w:hAnsi="Arial"/>
          <w:sz w:val="20"/>
          <w:szCs w:val="20"/>
          <w:rtl w:val="0"/>
        </w:rPr>
        <w:t xml:space="preserve">, 2017-2019</w:t>
      </w:r>
    </w:p>
    <w:p w:rsidR="00000000" w:rsidDel="00000000" w:rsidP="00000000" w:rsidRDefault="00000000" w:rsidRPr="00000000" w14:paraId="0000005A">
      <w:pPr>
        <w:ind w:left="18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Social Sciences Representative</w:t>
      </w:r>
      <w:r w:rsidDel="00000000" w:rsidR="00000000" w:rsidRPr="00000000">
        <w:rPr>
          <w:rFonts w:ascii="Arial" w:cs="Arial" w:eastAsia="Arial" w:hAnsi="Arial"/>
          <w:sz w:val="20"/>
          <w:szCs w:val="20"/>
          <w:rtl w:val="0"/>
        </w:rPr>
        <w:t xml:space="preserve">, University of Western Ontario Graduate Education Council, 2013-2015</w:t>
      </w:r>
    </w:p>
    <w:p w:rsidR="00000000" w:rsidDel="00000000" w:rsidP="00000000" w:rsidRDefault="00000000" w:rsidRPr="00000000" w14:paraId="0000005B">
      <w:pPr>
        <w:ind w:left="18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Graduate Committee Faculty of Arts Student Representative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Acadia University Senate</w:t>
      </w:r>
      <w:r w:rsidDel="00000000" w:rsidR="00000000" w:rsidRPr="00000000">
        <w:rPr>
          <w:rFonts w:ascii="Arial" w:cs="Arial" w:eastAsia="Arial" w:hAnsi="Arial"/>
          <w:sz w:val="20"/>
          <w:szCs w:val="20"/>
          <w:rtl w:val="0"/>
        </w:rPr>
        <w:t xml:space="preserve">, 2010-2011</w:t>
      </w:r>
    </w:p>
    <w:p w:rsidR="00000000" w:rsidDel="00000000" w:rsidP="00000000" w:rsidRDefault="00000000" w:rsidRPr="00000000" w14:paraId="0000005C">
      <w:pPr>
        <w:ind w:left="18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Executive Council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Institute of Island Studies Advisor Council</w:t>
      </w:r>
      <w:r w:rsidDel="00000000" w:rsidR="00000000" w:rsidRPr="00000000">
        <w:rPr>
          <w:rFonts w:ascii="Arial" w:cs="Arial" w:eastAsia="Arial" w:hAnsi="Arial"/>
          <w:sz w:val="20"/>
          <w:szCs w:val="20"/>
          <w:rtl w:val="0"/>
        </w:rPr>
        <w:t xml:space="preserve">, 2009-2010 </w:t>
      </w:r>
    </w:p>
    <w:p w:rsidR="00000000" w:rsidDel="00000000" w:rsidP="00000000" w:rsidRDefault="00000000" w:rsidRPr="00000000" w14:paraId="0000005D">
      <w:pPr>
        <w:ind w:left="1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ind w:left="1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ind w:left="0" w:firstLine="0"/>
        <w:rPr>
          <w:rFonts w:ascii="Arial" w:cs="Arial" w:eastAsia="Arial" w:hAnsi="Arial"/>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921" w:top="144" w:left="899" w:right="9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jc w:val="center"/>
      <w:rPr>
        <w:rFonts w:ascii="Arial" w:cs="Arial" w:eastAsia="Arial" w:hAnsi="Arial"/>
        <w:b w:val="1"/>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894" w:hanging="360"/>
      </w:pPr>
      <w:rPr>
        <w:rFonts w:ascii="Noto Sans Symbols" w:cs="Noto Sans Symbols" w:eastAsia="Noto Sans Symbols" w:hAnsi="Noto Sans Symbols"/>
      </w:rPr>
    </w:lvl>
    <w:lvl w:ilvl="1">
      <w:start w:val="1"/>
      <w:numFmt w:val="bullet"/>
      <w:lvlText w:val="o"/>
      <w:lvlJc w:val="left"/>
      <w:pPr>
        <w:ind w:left="1614" w:hanging="360"/>
      </w:pPr>
      <w:rPr>
        <w:rFonts w:ascii="Courier New" w:cs="Courier New" w:eastAsia="Courier New" w:hAnsi="Courier New"/>
      </w:rPr>
    </w:lvl>
    <w:lvl w:ilvl="2">
      <w:start w:val="1"/>
      <w:numFmt w:val="bullet"/>
      <w:lvlText w:val="▪"/>
      <w:lvlJc w:val="left"/>
      <w:pPr>
        <w:ind w:left="2334" w:hanging="360"/>
      </w:pPr>
      <w:rPr>
        <w:rFonts w:ascii="Noto Sans Symbols" w:cs="Noto Sans Symbols" w:eastAsia="Noto Sans Symbols" w:hAnsi="Noto Sans Symbols"/>
      </w:rPr>
    </w:lvl>
    <w:lvl w:ilvl="3">
      <w:start w:val="1"/>
      <w:numFmt w:val="bullet"/>
      <w:lvlText w:val="●"/>
      <w:lvlJc w:val="left"/>
      <w:pPr>
        <w:ind w:left="3054" w:hanging="360"/>
      </w:pPr>
      <w:rPr>
        <w:rFonts w:ascii="Noto Sans Symbols" w:cs="Noto Sans Symbols" w:eastAsia="Noto Sans Symbols" w:hAnsi="Noto Sans Symbols"/>
      </w:rPr>
    </w:lvl>
    <w:lvl w:ilvl="4">
      <w:start w:val="1"/>
      <w:numFmt w:val="bullet"/>
      <w:lvlText w:val="o"/>
      <w:lvlJc w:val="left"/>
      <w:pPr>
        <w:ind w:left="3774" w:hanging="360"/>
      </w:pPr>
      <w:rPr>
        <w:rFonts w:ascii="Courier New" w:cs="Courier New" w:eastAsia="Courier New" w:hAnsi="Courier New"/>
      </w:rPr>
    </w:lvl>
    <w:lvl w:ilvl="5">
      <w:start w:val="1"/>
      <w:numFmt w:val="bullet"/>
      <w:lvlText w:val="▪"/>
      <w:lvlJc w:val="left"/>
      <w:pPr>
        <w:ind w:left="4494" w:hanging="360"/>
      </w:pPr>
      <w:rPr>
        <w:rFonts w:ascii="Noto Sans Symbols" w:cs="Noto Sans Symbols" w:eastAsia="Noto Sans Symbols" w:hAnsi="Noto Sans Symbols"/>
      </w:rPr>
    </w:lvl>
    <w:lvl w:ilvl="6">
      <w:start w:val="1"/>
      <w:numFmt w:val="bullet"/>
      <w:lvlText w:val="●"/>
      <w:lvlJc w:val="left"/>
      <w:pPr>
        <w:ind w:left="5214" w:hanging="360"/>
      </w:pPr>
      <w:rPr>
        <w:rFonts w:ascii="Noto Sans Symbols" w:cs="Noto Sans Symbols" w:eastAsia="Noto Sans Symbols" w:hAnsi="Noto Sans Symbols"/>
      </w:rPr>
    </w:lvl>
    <w:lvl w:ilvl="7">
      <w:start w:val="1"/>
      <w:numFmt w:val="bullet"/>
      <w:lvlText w:val="o"/>
      <w:lvlJc w:val="left"/>
      <w:pPr>
        <w:ind w:left="5934" w:hanging="360"/>
      </w:pPr>
      <w:rPr>
        <w:rFonts w:ascii="Courier New" w:cs="Courier New" w:eastAsia="Courier New" w:hAnsi="Courier New"/>
      </w:rPr>
    </w:lvl>
    <w:lvl w:ilvl="8">
      <w:start w:val="1"/>
      <w:numFmt w:val="bullet"/>
      <w:lvlText w:val="▪"/>
      <w:lvlJc w:val="left"/>
      <w:pPr>
        <w:ind w:left="6654"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9" w:lineRule="auto"/>
      <w:ind w:left="174"/>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9" w:lineRule="auto"/>
      <w:ind w:left="174"/>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pacing w:before="19"/>
      <w:ind w:left="174"/>
      <w:outlineLvl w:val="0"/>
    </w:pPr>
    <w:rPr>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311EA"/>
    <w:pPr>
      <w:tabs>
        <w:tab w:val="center" w:pos="4680"/>
        <w:tab w:val="right" w:pos="9360"/>
      </w:tabs>
    </w:pPr>
  </w:style>
  <w:style w:type="character" w:styleId="HeaderChar" w:customStyle="1">
    <w:name w:val="Header Char"/>
    <w:basedOn w:val="DefaultParagraphFont"/>
    <w:link w:val="Header"/>
    <w:uiPriority w:val="99"/>
    <w:rsid w:val="008311EA"/>
  </w:style>
  <w:style w:type="paragraph" w:styleId="Footer">
    <w:name w:val="footer"/>
    <w:basedOn w:val="Normal"/>
    <w:link w:val="FooterChar"/>
    <w:uiPriority w:val="99"/>
    <w:unhideWhenUsed w:val="1"/>
    <w:rsid w:val="008311EA"/>
    <w:pPr>
      <w:tabs>
        <w:tab w:val="center" w:pos="4680"/>
        <w:tab w:val="right" w:pos="9360"/>
      </w:tabs>
    </w:pPr>
  </w:style>
  <w:style w:type="character" w:styleId="FooterChar" w:customStyle="1">
    <w:name w:val="Footer Char"/>
    <w:basedOn w:val="DefaultParagraphFont"/>
    <w:link w:val="Footer"/>
    <w:uiPriority w:val="99"/>
    <w:rsid w:val="008311EA"/>
  </w:style>
  <w:style w:type="character" w:styleId="CommentReference">
    <w:name w:val="annotation reference"/>
    <w:basedOn w:val="DefaultParagraphFont"/>
    <w:uiPriority w:val="99"/>
    <w:semiHidden w:val="1"/>
    <w:unhideWhenUsed w:val="1"/>
    <w:rsid w:val="008311EA"/>
    <w:rPr>
      <w:sz w:val="16"/>
      <w:szCs w:val="16"/>
    </w:rPr>
  </w:style>
  <w:style w:type="paragraph" w:styleId="CommentText">
    <w:name w:val="annotation text"/>
    <w:basedOn w:val="Normal"/>
    <w:link w:val="CommentTextChar"/>
    <w:uiPriority w:val="99"/>
    <w:semiHidden w:val="1"/>
    <w:unhideWhenUsed w:val="1"/>
    <w:rsid w:val="008311EA"/>
    <w:rPr>
      <w:sz w:val="20"/>
      <w:szCs w:val="20"/>
    </w:rPr>
  </w:style>
  <w:style w:type="character" w:styleId="CommentTextChar" w:customStyle="1">
    <w:name w:val="Comment Text Char"/>
    <w:basedOn w:val="DefaultParagraphFont"/>
    <w:link w:val="CommentText"/>
    <w:uiPriority w:val="99"/>
    <w:semiHidden w:val="1"/>
    <w:rsid w:val="008311EA"/>
    <w:rPr>
      <w:sz w:val="20"/>
      <w:szCs w:val="20"/>
    </w:rPr>
  </w:style>
  <w:style w:type="paragraph" w:styleId="CommentSubject">
    <w:name w:val="annotation subject"/>
    <w:basedOn w:val="CommentText"/>
    <w:next w:val="CommentText"/>
    <w:link w:val="CommentSubjectChar"/>
    <w:uiPriority w:val="99"/>
    <w:semiHidden w:val="1"/>
    <w:unhideWhenUsed w:val="1"/>
    <w:rsid w:val="008311EA"/>
    <w:rPr>
      <w:b w:val="1"/>
      <w:bCs w:val="1"/>
    </w:rPr>
  </w:style>
  <w:style w:type="character" w:styleId="CommentSubjectChar" w:customStyle="1">
    <w:name w:val="Comment Subject Char"/>
    <w:basedOn w:val="CommentTextChar"/>
    <w:link w:val="CommentSubject"/>
    <w:uiPriority w:val="99"/>
    <w:semiHidden w:val="1"/>
    <w:rsid w:val="008311EA"/>
    <w:rPr>
      <w:b w:val="1"/>
      <w:bCs w:val="1"/>
      <w:sz w:val="20"/>
      <w:szCs w:val="20"/>
    </w:rPr>
  </w:style>
  <w:style w:type="character" w:styleId="Hyperlink">
    <w:name w:val="Hyperlink"/>
    <w:basedOn w:val="DefaultParagraphFont"/>
    <w:uiPriority w:val="99"/>
    <w:unhideWhenUsed w:val="1"/>
    <w:rsid w:val="008311EA"/>
    <w:rPr>
      <w:color w:val="0000ff" w:themeColor="hyperlink"/>
      <w:u w:val="single"/>
    </w:rPr>
  </w:style>
  <w:style w:type="character" w:styleId="UnresolvedMention">
    <w:name w:val="Unresolved Mention"/>
    <w:basedOn w:val="DefaultParagraphFont"/>
    <w:uiPriority w:val="99"/>
    <w:semiHidden w:val="1"/>
    <w:unhideWhenUsed w:val="1"/>
    <w:rsid w:val="008311EA"/>
    <w:rPr>
      <w:color w:val="605e5c"/>
      <w:shd w:color="auto" w:fill="e1dfdd" w:val="clear"/>
    </w:rPr>
  </w:style>
  <w:style w:type="paragraph" w:styleId="ListParagraph">
    <w:name w:val="List Paragraph"/>
    <w:basedOn w:val="Normal"/>
    <w:uiPriority w:val="34"/>
    <w:qFormat w:val="1"/>
    <w:rsid w:val="00BF1FA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uLNq/N3CNC28FUkey3FL3yIWhA==">CgMxLjA4AHIhMUxTSTQyd2czLXEzV1JLeWFFNjIwU3hSXzR5bm1CUHhi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2022-08-10T20:17:00Z</dcterms:created>
  <dc:creator>Shott, Alison 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c60-0483-4c57-9e8c-3779d6900235_Enabled">
    <vt:lpwstr>true</vt:lpwstr>
  </property>
  <property fmtid="{D5CDD505-2E9C-101B-9397-08002B2CF9AE}" pid="3" name="MSIP_Label_65269c60-0483-4c57-9e8c-3779d6900235_SetDate">
    <vt:lpwstr>2022-08-10T16:29:51Z</vt:lpwstr>
  </property>
  <property fmtid="{D5CDD505-2E9C-101B-9397-08002B2CF9AE}" pid="4" name="MSIP_Label_65269c60-0483-4c57-9e8c-3779d6900235_Method">
    <vt:lpwstr>Privileged</vt:lpwstr>
  </property>
  <property fmtid="{D5CDD505-2E9C-101B-9397-08002B2CF9AE}" pid="5" name="MSIP_Label_65269c60-0483-4c57-9e8c-3779d6900235_Name">
    <vt:lpwstr>65269c60-0483-4c57-9e8c-3779d6900235</vt:lpwstr>
  </property>
  <property fmtid="{D5CDD505-2E9C-101B-9397-08002B2CF9AE}" pid="6" name="MSIP_Label_65269c60-0483-4c57-9e8c-3779d6900235_SiteId">
    <vt:lpwstr>b397c653-5b19-463f-b9fc-af658ded9128</vt:lpwstr>
  </property>
  <property fmtid="{D5CDD505-2E9C-101B-9397-08002B2CF9AE}" pid="7" name="MSIP_Label_65269c60-0483-4c57-9e8c-3779d6900235_ActionId">
    <vt:lpwstr>bfdd895f-5344-4027-96eb-f780c3d0682d</vt:lpwstr>
  </property>
  <property fmtid="{D5CDD505-2E9C-101B-9397-08002B2CF9AE}" pid="8" name="MSIP_Label_65269c60-0483-4c57-9e8c-3779d6900235_ContentBits">
    <vt:lpwstr>0</vt:lpwstr>
  </property>
  <property fmtid="{D5CDD505-2E9C-101B-9397-08002B2CF9AE}" pid="9" name="MSIP_Label_65269c60-0483-4c57-9e8c-3779d6900235_ActionId">
    <vt:lpwstr>bfdd895f-5344-4027-96eb-f780c3d0682d</vt:lpwstr>
  </property>
  <property fmtid="{D5CDD505-2E9C-101B-9397-08002B2CF9AE}" pid="10" name="MSIP_Label_65269c60-0483-4c57-9e8c-3779d6900235_Name">
    <vt:lpwstr>65269c60-0483-4c57-9e8c-3779d6900235</vt:lpwstr>
  </property>
  <property fmtid="{D5CDD505-2E9C-101B-9397-08002B2CF9AE}" pid="11" name="MSIP_Label_65269c60-0483-4c57-9e8c-3779d6900235_SiteId">
    <vt:lpwstr>b397c653-5b19-463f-b9fc-af658ded9128</vt:lpwstr>
  </property>
  <property fmtid="{D5CDD505-2E9C-101B-9397-08002B2CF9AE}" pid="12" name="MSIP_Label_65269c60-0483-4c57-9e8c-3779d6900235_SetDate">
    <vt:lpwstr>2022-08-10T16:29:51Z</vt:lpwstr>
  </property>
  <property fmtid="{D5CDD505-2E9C-101B-9397-08002B2CF9AE}" pid="13" name="MSIP_Label_65269c60-0483-4c57-9e8c-3779d6900235_Method">
    <vt:lpwstr>Privileged</vt:lpwstr>
  </property>
  <property fmtid="{D5CDD505-2E9C-101B-9397-08002B2CF9AE}" pid="14" name="MSIP_Label_65269c60-0483-4c57-9e8c-3779d6900235_ContentBits">
    <vt:lpwstr>0</vt:lpwstr>
  </property>
  <property fmtid="{D5CDD505-2E9C-101B-9397-08002B2CF9AE}" pid="15" name="MSIP_Label_65269c60-0483-4c57-9e8c-3779d6900235_Enabled">
    <vt:lpwstr>true</vt:lpwstr>
  </property>
</Properties>
</file>